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F414" w14:textId="7C553915" w:rsidR="00256754" w:rsidRDefault="00923403" w:rsidP="00C8608F">
      <w:pPr>
        <w:pStyle w:val="Heading2"/>
      </w:pPr>
      <w:r w:rsidRPr="00C8608F">
        <w:t xml:space="preserve">Getting Started </w:t>
      </w:r>
    </w:p>
    <w:p w14:paraId="541A2D8C" w14:textId="1B789768" w:rsidR="00923403" w:rsidRPr="00C8608F" w:rsidRDefault="00923403" w:rsidP="00C8608F">
      <w:pPr>
        <w:pStyle w:val="Heading2"/>
      </w:pPr>
      <w:proofErr w:type="spellStart"/>
      <w:r w:rsidRPr="00C8608F">
        <w:t>Healthdirect</w:t>
      </w:r>
      <w:proofErr w:type="spellEnd"/>
      <w:r w:rsidRPr="00C8608F">
        <w:t xml:space="preserve"> Video Call – Checklist</w:t>
      </w:r>
    </w:p>
    <w:p w14:paraId="0B522BC1" w14:textId="3328245C" w:rsidR="00923403" w:rsidRPr="00923403" w:rsidRDefault="00923403" w:rsidP="00923403">
      <w:pPr>
        <w:rPr>
          <w:rFonts w:cs="Arial"/>
          <w:sz w:val="22"/>
        </w:rPr>
      </w:pPr>
      <w:r w:rsidRPr="00923403">
        <w:rPr>
          <w:rFonts w:cs="Arial"/>
          <w:sz w:val="22"/>
        </w:rPr>
        <w:t xml:space="preserve">Before embarking on the use of </w:t>
      </w:r>
      <w:proofErr w:type="spellStart"/>
      <w:r w:rsidRPr="00923403">
        <w:rPr>
          <w:rFonts w:cs="Arial"/>
          <w:sz w:val="22"/>
        </w:rPr>
        <w:t>Healthdirect</w:t>
      </w:r>
      <w:proofErr w:type="spellEnd"/>
      <w:r w:rsidRPr="00923403">
        <w:rPr>
          <w:rFonts w:cs="Arial"/>
          <w:sz w:val="22"/>
        </w:rPr>
        <w:t xml:space="preserve"> Video Call</w:t>
      </w:r>
      <w:r w:rsidR="007B6A4B">
        <w:rPr>
          <w:rFonts w:cs="Arial"/>
          <w:sz w:val="22"/>
        </w:rPr>
        <w:t>,</w:t>
      </w:r>
      <w:r w:rsidRPr="00923403">
        <w:rPr>
          <w:rFonts w:cs="Arial"/>
          <w:sz w:val="22"/>
        </w:rPr>
        <w:t xml:space="preserve"> general practices should action the following:</w:t>
      </w:r>
    </w:p>
    <w:p w14:paraId="6A65410F" w14:textId="0BF7A9C4" w:rsid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 xml:space="preserve">Appoint a staff member to be the administrator of your practice </w:t>
      </w:r>
      <w:proofErr w:type="spellStart"/>
      <w:r w:rsidRPr="00923403">
        <w:rPr>
          <w:rFonts w:cs="Arial"/>
          <w:sz w:val="22"/>
        </w:rPr>
        <w:t>Healthdirect</w:t>
      </w:r>
      <w:proofErr w:type="spellEnd"/>
      <w:r w:rsidRPr="00923403">
        <w:rPr>
          <w:rFonts w:cs="Arial"/>
          <w:sz w:val="22"/>
        </w:rPr>
        <w:t xml:space="preserve"> Video Call account.</w:t>
      </w:r>
    </w:p>
    <w:p w14:paraId="3102F05F" w14:textId="58CC3677" w:rsidR="00F61AC1" w:rsidRPr="00923403" w:rsidRDefault="00F61AC1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Platform orientation session with the PHN for key account administrator</w:t>
      </w:r>
    </w:p>
    <w:p w14:paraId="497DD442" w14:textId="68682DF8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Establish which practice staff will be using and accessing Video Call. Create a user account per user (must have unique email address per user) and establish what role each staff member will play</w:t>
      </w:r>
      <w:r w:rsidR="00C8608F">
        <w:rPr>
          <w:rFonts w:cs="Arial"/>
          <w:sz w:val="22"/>
        </w:rPr>
        <w:t xml:space="preserve"> (admin or team member?)</w:t>
      </w:r>
    </w:p>
    <w:p w14:paraId="7B44D2D2" w14:textId="6ED333DE" w:rsid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 xml:space="preserve">Configure your practice </w:t>
      </w:r>
      <w:r w:rsidR="00C8608F">
        <w:rPr>
          <w:rFonts w:cs="Arial"/>
          <w:sz w:val="22"/>
        </w:rPr>
        <w:t>account</w:t>
      </w:r>
    </w:p>
    <w:p w14:paraId="6FB8D5D0" w14:textId="717AF350" w:rsidR="00C8608F" w:rsidRDefault="00554F23" w:rsidP="00C8608F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Set </w:t>
      </w:r>
      <w:r w:rsidRPr="00554F23">
        <w:rPr>
          <w:rFonts w:cs="Arial"/>
          <w:b/>
          <w:bCs/>
          <w:sz w:val="22"/>
        </w:rPr>
        <w:t>W</w:t>
      </w:r>
      <w:r w:rsidR="00C8608F" w:rsidRPr="00554F23">
        <w:rPr>
          <w:rFonts w:cs="Arial"/>
          <w:b/>
          <w:bCs/>
          <w:sz w:val="22"/>
        </w:rPr>
        <w:t xml:space="preserve">aiting </w:t>
      </w:r>
      <w:r w:rsidRPr="00554F23">
        <w:rPr>
          <w:rFonts w:cs="Arial"/>
          <w:b/>
          <w:bCs/>
          <w:sz w:val="22"/>
        </w:rPr>
        <w:t>area</w:t>
      </w:r>
      <w:r w:rsidR="00C8608F" w:rsidRPr="00554F23">
        <w:rPr>
          <w:rFonts w:cs="Arial"/>
          <w:b/>
          <w:bCs/>
          <w:sz w:val="22"/>
        </w:rPr>
        <w:t xml:space="preserve"> hours</w:t>
      </w:r>
      <w:r w:rsidR="00C8608F">
        <w:rPr>
          <w:rFonts w:cs="Arial"/>
          <w:sz w:val="22"/>
        </w:rPr>
        <w:t xml:space="preserve"> (waiting area tab)</w:t>
      </w:r>
    </w:p>
    <w:p w14:paraId="3EC4D161" w14:textId="1E966F37" w:rsidR="00C8608F" w:rsidRDefault="00554F23" w:rsidP="00C8608F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Add </w:t>
      </w:r>
      <w:r w:rsidR="00C8608F" w:rsidRPr="00554F23">
        <w:rPr>
          <w:rFonts w:cs="Arial"/>
          <w:b/>
          <w:bCs/>
          <w:sz w:val="22"/>
        </w:rPr>
        <w:t>Patient entry fields</w:t>
      </w:r>
      <w:r w:rsidR="00C8608F">
        <w:rPr>
          <w:rFonts w:cs="Arial"/>
          <w:sz w:val="22"/>
        </w:rPr>
        <w:t xml:space="preserve"> (waiting area tab)</w:t>
      </w:r>
    </w:p>
    <w:p w14:paraId="7621519B" w14:textId="6ABCD83C" w:rsidR="00C8608F" w:rsidRDefault="00554F23" w:rsidP="00C8608F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Add </w:t>
      </w:r>
      <w:r w:rsidR="00C8608F" w:rsidRPr="00554F23">
        <w:rPr>
          <w:rFonts w:cs="Arial"/>
          <w:b/>
          <w:bCs/>
          <w:sz w:val="22"/>
        </w:rPr>
        <w:t>Automated message</w:t>
      </w:r>
      <w:r w:rsidR="00C8608F">
        <w:rPr>
          <w:rFonts w:cs="Arial"/>
          <w:sz w:val="22"/>
        </w:rPr>
        <w:t xml:space="preserve"> </w:t>
      </w:r>
      <w:r>
        <w:rPr>
          <w:rFonts w:cs="Arial"/>
          <w:sz w:val="22"/>
        </w:rPr>
        <w:t>for patients</w:t>
      </w:r>
      <w:r w:rsidR="00D00E48">
        <w:rPr>
          <w:rFonts w:cs="Arial"/>
          <w:sz w:val="22"/>
        </w:rPr>
        <w:t xml:space="preserve"> in the waiting area</w:t>
      </w:r>
      <w:r>
        <w:rPr>
          <w:rFonts w:cs="Arial"/>
          <w:sz w:val="22"/>
        </w:rPr>
        <w:t xml:space="preserve"> </w:t>
      </w:r>
      <w:r w:rsidR="00C8608F">
        <w:rPr>
          <w:rFonts w:cs="Arial"/>
          <w:sz w:val="22"/>
        </w:rPr>
        <w:t>(waiting area tab)</w:t>
      </w:r>
    </w:p>
    <w:p w14:paraId="5BB86E6F" w14:textId="77777777" w:rsidR="00D00E48" w:rsidRPr="00D00E48" w:rsidRDefault="00D00E48" w:rsidP="00D00E48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D00E48">
        <w:rPr>
          <w:rFonts w:cs="Arial"/>
          <w:sz w:val="22"/>
        </w:rPr>
        <w:t xml:space="preserve">Enable call locking in </w:t>
      </w:r>
      <w:r w:rsidRPr="00D00E48">
        <w:rPr>
          <w:rFonts w:cs="Arial"/>
          <w:b/>
          <w:bCs/>
          <w:sz w:val="22"/>
        </w:rPr>
        <w:t>Call locks</w:t>
      </w:r>
      <w:r w:rsidRPr="00D00E48">
        <w:rPr>
          <w:rFonts w:cs="Arial"/>
          <w:sz w:val="22"/>
        </w:rPr>
        <w:t xml:space="preserve"> (waiting area tab)</w:t>
      </w:r>
    </w:p>
    <w:p w14:paraId="5C784039" w14:textId="77777777" w:rsidR="00D00E48" w:rsidRDefault="00C8608F" w:rsidP="00D00E48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Customise</w:t>
      </w:r>
      <w:r w:rsidR="00554F23">
        <w:rPr>
          <w:rFonts w:cs="Arial"/>
          <w:sz w:val="22"/>
        </w:rPr>
        <w:t xml:space="preserve"> </w:t>
      </w:r>
      <w:r w:rsidR="00554F23">
        <w:rPr>
          <w:rFonts w:cs="Arial"/>
          <w:b/>
          <w:bCs/>
          <w:sz w:val="22"/>
        </w:rPr>
        <w:t>Short URL</w:t>
      </w:r>
      <w:r>
        <w:rPr>
          <w:rFonts w:cs="Arial"/>
          <w:sz w:val="22"/>
        </w:rPr>
        <w:t xml:space="preserve"> (waiting area tab)</w:t>
      </w:r>
    </w:p>
    <w:p w14:paraId="701AC3FD" w14:textId="69C05CAC" w:rsidR="00C8608F" w:rsidRDefault="00D00E48" w:rsidP="00C8608F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Set </w:t>
      </w:r>
      <w:r>
        <w:rPr>
          <w:rFonts w:cs="Arial"/>
          <w:b/>
          <w:bCs/>
          <w:sz w:val="22"/>
        </w:rPr>
        <w:t>Connection check</w:t>
      </w:r>
      <w:r w:rsidRPr="00D00E48">
        <w:rPr>
          <w:rFonts w:cs="Arial"/>
          <w:b/>
          <w:bCs/>
          <w:sz w:val="22"/>
        </w:rPr>
        <w:t xml:space="preserve"> behaviour</w:t>
      </w:r>
      <w:r>
        <w:rPr>
          <w:rFonts w:cs="Arial"/>
          <w:sz w:val="22"/>
        </w:rPr>
        <w:t xml:space="preserve"> to </w:t>
      </w:r>
      <w:r>
        <w:rPr>
          <w:rFonts w:cs="Arial"/>
          <w:b/>
          <w:bCs/>
          <w:sz w:val="22"/>
        </w:rPr>
        <w:t>Permissive</w:t>
      </w:r>
      <w:r>
        <w:rPr>
          <w:rFonts w:cs="Arial"/>
          <w:sz w:val="22"/>
        </w:rPr>
        <w:t xml:space="preserve"> and </w:t>
      </w:r>
      <w:r>
        <w:rPr>
          <w:rFonts w:cs="Arial"/>
          <w:b/>
          <w:bCs/>
          <w:sz w:val="22"/>
        </w:rPr>
        <w:t xml:space="preserve">Video quality pre-set </w:t>
      </w:r>
      <w:r>
        <w:rPr>
          <w:rFonts w:cs="Arial"/>
          <w:sz w:val="22"/>
        </w:rPr>
        <w:t xml:space="preserve">to </w:t>
      </w:r>
      <w:r>
        <w:rPr>
          <w:rFonts w:cs="Arial"/>
          <w:b/>
          <w:bCs/>
          <w:sz w:val="22"/>
        </w:rPr>
        <w:t>Adaptive</w:t>
      </w:r>
      <w:r>
        <w:rPr>
          <w:rFonts w:cs="Arial"/>
          <w:sz w:val="22"/>
        </w:rPr>
        <w:t xml:space="preserve"> (</w:t>
      </w:r>
      <w:r w:rsidR="00C8608F">
        <w:rPr>
          <w:rFonts w:cs="Arial"/>
          <w:sz w:val="22"/>
        </w:rPr>
        <w:t>call quality tab)</w:t>
      </w:r>
    </w:p>
    <w:p w14:paraId="28AE7207" w14:textId="00DB3EA0" w:rsidR="00C8608F" w:rsidRDefault="00045B3D" w:rsidP="00C8608F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Add </w:t>
      </w:r>
      <w:r>
        <w:rPr>
          <w:rFonts w:cs="Arial"/>
          <w:b/>
          <w:bCs/>
          <w:sz w:val="22"/>
        </w:rPr>
        <w:t>Team Members</w:t>
      </w:r>
      <w:r>
        <w:rPr>
          <w:rFonts w:cs="Arial"/>
          <w:sz w:val="22"/>
        </w:rPr>
        <w:t xml:space="preserve"> (Team members tab)</w:t>
      </w:r>
    </w:p>
    <w:p w14:paraId="75FE4222" w14:textId="5C57E4EF" w:rsidR="00045B3D" w:rsidRDefault="00045B3D" w:rsidP="00045B3D">
      <w:pPr>
        <w:numPr>
          <w:ilvl w:val="2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Each team member will need their own unique email address (only used to login)</w:t>
      </w:r>
    </w:p>
    <w:p w14:paraId="2175CFB8" w14:textId="247DA1A8" w:rsidR="00045B3D" w:rsidRPr="00923403" w:rsidRDefault="00AD2819" w:rsidP="00045B3D">
      <w:pPr>
        <w:numPr>
          <w:ilvl w:val="2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Suggest having no more than two “Administrator” roles for backup</w:t>
      </w:r>
    </w:p>
    <w:p w14:paraId="1A58C33E" w14:textId="580A9B13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Confirm that your professional indemnity policy covers your practice in providing care via telehealth.</w:t>
      </w:r>
    </w:p>
    <w:p w14:paraId="5A46EC3A" w14:textId="77777777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Develop a workflow for providing video consults. This includes:</w:t>
      </w:r>
    </w:p>
    <w:p w14:paraId="6DE14A94" w14:textId="16E33FE3" w:rsidR="00923403" w:rsidRDefault="00923403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Appointments – how will you flag as a ‘video call’</w:t>
      </w:r>
      <w:r w:rsidR="00C8608F">
        <w:rPr>
          <w:rFonts w:cs="Arial"/>
          <w:sz w:val="22"/>
        </w:rPr>
        <w:t xml:space="preserve"> in your clinical system?</w:t>
      </w:r>
    </w:p>
    <w:p w14:paraId="3C8DFFB0" w14:textId="518D4EDC" w:rsidR="00C8608F" w:rsidRDefault="00C8608F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How will you be sending your clinic </w:t>
      </w:r>
      <w:r w:rsidR="00471B33">
        <w:rPr>
          <w:rFonts w:cs="Arial"/>
          <w:sz w:val="22"/>
        </w:rPr>
        <w:t xml:space="preserve">online (virtual) waiting area </w:t>
      </w:r>
      <w:r>
        <w:rPr>
          <w:rFonts w:cs="Arial"/>
          <w:sz w:val="22"/>
        </w:rPr>
        <w:t>to patients?</w:t>
      </w:r>
    </w:p>
    <w:p w14:paraId="76F703FA" w14:textId="453492C0" w:rsidR="00923403" w:rsidRPr="00923403" w:rsidRDefault="000574BD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Consider which patients you will offer video calls to</w:t>
      </w:r>
    </w:p>
    <w:p w14:paraId="7D608387" w14:textId="77777777" w:rsidR="00923403" w:rsidRPr="00923403" w:rsidRDefault="00923403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How the practitioner will access the clinical system whilst on the call</w:t>
      </w:r>
    </w:p>
    <w:p w14:paraId="7AA2E007" w14:textId="77777777" w:rsidR="00923403" w:rsidRPr="00923403" w:rsidRDefault="00923403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 xml:space="preserve">Patient consent procedure </w:t>
      </w:r>
    </w:p>
    <w:p w14:paraId="557974D6" w14:textId="77777777" w:rsidR="00923403" w:rsidRPr="00923403" w:rsidRDefault="00923403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 xml:space="preserve">How patient identifiers will be confirmed </w:t>
      </w:r>
    </w:p>
    <w:p w14:paraId="2F841F2B" w14:textId="27CD7529" w:rsidR="00923403" w:rsidRPr="00923403" w:rsidRDefault="00923403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Billing procedures</w:t>
      </w:r>
      <w:r w:rsidR="00C8608F">
        <w:rPr>
          <w:rFonts w:cs="Arial"/>
          <w:sz w:val="22"/>
        </w:rPr>
        <w:t xml:space="preserve"> for telehealth</w:t>
      </w:r>
    </w:p>
    <w:p w14:paraId="7AAC7DE6" w14:textId="58FB3DC0" w:rsidR="00923403" w:rsidRDefault="00923403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 xml:space="preserve">Prescribing </w:t>
      </w:r>
      <w:r w:rsidR="00C8608F">
        <w:rPr>
          <w:rFonts w:cs="Arial"/>
          <w:sz w:val="22"/>
        </w:rPr>
        <w:t xml:space="preserve">– will you use </w:t>
      </w:r>
      <w:proofErr w:type="spellStart"/>
      <w:r w:rsidR="00C8608F">
        <w:rPr>
          <w:rFonts w:cs="Arial"/>
          <w:sz w:val="22"/>
        </w:rPr>
        <w:t>ePrescribing</w:t>
      </w:r>
      <w:proofErr w:type="spellEnd"/>
      <w:r w:rsidR="00C8608F">
        <w:rPr>
          <w:rFonts w:cs="Arial"/>
          <w:sz w:val="22"/>
        </w:rPr>
        <w:t>?</w:t>
      </w:r>
    </w:p>
    <w:p w14:paraId="5CCAFD36" w14:textId="66F09CED" w:rsidR="00263A4E" w:rsidRPr="00923403" w:rsidRDefault="00263A4E" w:rsidP="00923403">
      <w:pPr>
        <w:numPr>
          <w:ilvl w:val="1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Refer to the </w:t>
      </w:r>
      <w:hyperlink r:id="rId8" w:history="1">
        <w:r w:rsidRPr="00263A4E">
          <w:rPr>
            <w:rStyle w:val="Hyperlink"/>
            <w:rFonts w:cs="Arial"/>
            <w:sz w:val="22"/>
          </w:rPr>
          <w:t xml:space="preserve">RACGP Telehealth consultations </w:t>
        </w:r>
        <w:r w:rsidRPr="00263A4E">
          <w:rPr>
            <w:rStyle w:val="Hyperlink"/>
            <w:rFonts w:cs="Arial"/>
            <w:sz w:val="22"/>
          </w:rPr>
          <w:t>i</w:t>
        </w:r>
        <w:r w:rsidRPr="00263A4E">
          <w:rPr>
            <w:rStyle w:val="Hyperlink"/>
            <w:rFonts w:cs="Arial"/>
            <w:sz w:val="22"/>
          </w:rPr>
          <w:t>n general practice - Flowcharts</w:t>
        </w:r>
      </w:hyperlink>
    </w:p>
    <w:p w14:paraId="4666D31F" w14:textId="359F0801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 xml:space="preserve">Provide </w:t>
      </w:r>
      <w:r w:rsidR="000574BD">
        <w:rPr>
          <w:rFonts w:cs="Arial"/>
          <w:sz w:val="22"/>
        </w:rPr>
        <w:t>training</w:t>
      </w:r>
      <w:r w:rsidRPr="00923403">
        <w:rPr>
          <w:rFonts w:cs="Arial"/>
          <w:sz w:val="22"/>
        </w:rPr>
        <w:t xml:space="preserve"> for staff </w:t>
      </w:r>
      <w:r w:rsidR="000574BD">
        <w:rPr>
          <w:rFonts w:cs="Arial"/>
          <w:sz w:val="22"/>
        </w:rPr>
        <w:t xml:space="preserve">on </w:t>
      </w:r>
      <w:r w:rsidR="00C8608F">
        <w:rPr>
          <w:rFonts w:cs="Arial"/>
          <w:sz w:val="22"/>
        </w:rPr>
        <w:t>how to use Videocal</w:t>
      </w:r>
      <w:r w:rsidR="00F61AC1">
        <w:rPr>
          <w:rFonts w:cs="Arial"/>
          <w:sz w:val="22"/>
        </w:rPr>
        <w:t>l</w:t>
      </w:r>
      <w:r w:rsidR="00C8608F">
        <w:rPr>
          <w:rFonts w:cs="Arial"/>
          <w:sz w:val="22"/>
        </w:rPr>
        <w:t xml:space="preserve">: </w:t>
      </w:r>
      <w:hyperlink r:id="rId9" w:history="1">
        <w:r w:rsidR="00C8608F" w:rsidRPr="00C8608F">
          <w:rPr>
            <w:rStyle w:val="Hyperlink"/>
            <w:sz w:val="22"/>
          </w:rPr>
          <w:t>ht</w:t>
        </w:r>
        <w:r w:rsidR="00C8608F" w:rsidRPr="00C8608F">
          <w:rPr>
            <w:rStyle w:val="Hyperlink"/>
            <w:sz w:val="22"/>
          </w:rPr>
          <w:t>t</w:t>
        </w:r>
        <w:r w:rsidR="00C8608F" w:rsidRPr="00C8608F">
          <w:rPr>
            <w:rStyle w:val="Hyperlink"/>
            <w:sz w:val="22"/>
          </w:rPr>
          <w:t>ps://help.vcc.healthdirect.org.au/95525-getting-set-up-with-video-call-for-the-first-time/webinars</w:t>
        </w:r>
      </w:hyperlink>
      <w:r w:rsidRPr="00923403">
        <w:rPr>
          <w:rFonts w:cs="Arial"/>
          <w:sz w:val="22"/>
        </w:rPr>
        <w:t xml:space="preserve"> </w:t>
      </w:r>
    </w:p>
    <w:p w14:paraId="71BE1BC2" w14:textId="77777777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Setup webcams and speakers in appropriate consultation rooms for video consults.</w:t>
      </w:r>
    </w:p>
    <w:p w14:paraId="253BD6F7" w14:textId="057D8CC4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Make sure you have good quality internet connection – consider upgrading internet plan for</w:t>
      </w:r>
      <w:r w:rsidR="00C8608F">
        <w:rPr>
          <w:rFonts w:cs="Arial"/>
          <w:sz w:val="22"/>
        </w:rPr>
        <w:t xml:space="preserve"> l</w:t>
      </w:r>
      <w:r w:rsidRPr="00923403">
        <w:rPr>
          <w:rFonts w:cs="Arial"/>
          <w:sz w:val="22"/>
        </w:rPr>
        <w:t>arger practices.</w:t>
      </w:r>
    </w:p>
    <w:p w14:paraId="03B29461" w14:textId="471A6089" w:rsidR="00923403" w:rsidRPr="00923403" w:rsidRDefault="00C8608F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 xml:space="preserve">Run a test call on the platform - </w:t>
      </w:r>
      <w:r w:rsidR="00923403" w:rsidRPr="00923403">
        <w:rPr>
          <w:rFonts w:cs="Arial"/>
          <w:sz w:val="22"/>
        </w:rPr>
        <w:t>Test equipment, web browser, and room settings prior to starting a video consults e.g. good lighting in the room.</w:t>
      </w:r>
    </w:p>
    <w:p w14:paraId="74F30E20" w14:textId="77777777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Have a process for using telephone consults as a back-up.</w:t>
      </w:r>
    </w:p>
    <w:p w14:paraId="2B71C701" w14:textId="02A8119E" w:rsidR="00923403" w:rsidRDefault="00FD2FF5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>
        <w:rPr>
          <w:rFonts w:cs="Arial"/>
          <w:sz w:val="22"/>
        </w:rPr>
        <w:t>Clinician and P</w:t>
      </w:r>
      <w:r w:rsidR="00923403" w:rsidRPr="00923403">
        <w:rPr>
          <w:rFonts w:cs="Arial"/>
          <w:sz w:val="22"/>
        </w:rPr>
        <w:t>atient resources</w:t>
      </w:r>
      <w:r>
        <w:rPr>
          <w:rFonts w:cs="Arial"/>
          <w:sz w:val="22"/>
        </w:rPr>
        <w:t xml:space="preserve">: </w:t>
      </w:r>
      <w:hyperlink r:id="rId10" w:history="1">
        <w:r w:rsidRPr="0053107E">
          <w:rPr>
            <w:rStyle w:val="Hyperlink"/>
            <w:rFonts w:cs="Arial"/>
            <w:sz w:val="22"/>
          </w:rPr>
          <w:t>https://hel</w:t>
        </w:r>
        <w:r w:rsidRPr="0053107E">
          <w:rPr>
            <w:rStyle w:val="Hyperlink"/>
            <w:rFonts w:cs="Arial"/>
            <w:sz w:val="22"/>
          </w:rPr>
          <w:t>p</w:t>
        </w:r>
        <w:r w:rsidRPr="0053107E">
          <w:rPr>
            <w:rStyle w:val="Hyperlink"/>
            <w:rFonts w:cs="Arial"/>
            <w:sz w:val="22"/>
          </w:rPr>
          <w:t>.vcc.healthdirect.org.au/templatesandguides/downloads</w:t>
        </w:r>
      </w:hyperlink>
      <w:r>
        <w:rPr>
          <w:rFonts w:cs="Arial"/>
          <w:sz w:val="22"/>
        </w:rPr>
        <w:t xml:space="preserve">. </w:t>
      </w:r>
    </w:p>
    <w:p w14:paraId="46EC4210" w14:textId="77777777" w:rsidR="00923403" w:rsidRPr="00923403" w:rsidRDefault="00923403" w:rsidP="00923403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sz w:val="22"/>
        </w:rPr>
      </w:pPr>
      <w:r w:rsidRPr="00923403">
        <w:rPr>
          <w:rFonts w:cs="Arial"/>
          <w:sz w:val="22"/>
        </w:rPr>
        <w:t>Have ready access to technical support for video equipment and connectivity issues, should the need arise.</w:t>
      </w:r>
    </w:p>
    <w:p w14:paraId="0B1E860B" w14:textId="17B82DE9" w:rsidR="00923403" w:rsidRDefault="00923403" w:rsidP="00256754">
      <w:pPr>
        <w:numPr>
          <w:ilvl w:val="0"/>
          <w:numId w:val="1"/>
        </w:numPr>
        <w:spacing w:before="0" w:after="160" w:line="259" w:lineRule="auto"/>
        <w:contextualSpacing/>
        <w:rPr>
          <w:rFonts w:cs="Arial"/>
          <w:b/>
          <w:sz w:val="22"/>
        </w:rPr>
      </w:pPr>
      <w:r w:rsidRPr="00923403">
        <w:rPr>
          <w:rFonts w:cs="Arial"/>
          <w:b/>
          <w:sz w:val="22"/>
        </w:rPr>
        <w:t>Document all these changes in a Quality Improvement Workplan as evidence for PIPQI</w:t>
      </w:r>
    </w:p>
    <w:p w14:paraId="0FC604C3" w14:textId="77777777" w:rsidR="00256754" w:rsidRPr="00256754" w:rsidRDefault="00256754" w:rsidP="00256754">
      <w:pPr>
        <w:spacing w:before="0" w:after="160" w:line="259" w:lineRule="auto"/>
        <w:ind w:left="720"/>
        <w:contextualSpacing/>
        <w:rPr>
          <w:rFonts w:cs="Arial"/>
          <w:b/>
          <w:sz w:val="22"/>
        </w:rPr>
      </w:pPr>
    </w:p>
    <w:sectPr w:rsidR="00256754" w:rsidRPr="00256754" w:rsidSect="00C8608F">
      <w:headerReference w:type="default" r:id="rId11"/>
      <w:footerReference w:type="default" r:id="rId12"/>
      <w:pgSz w:w="11906" w:h="16838" w:code="9"/>
      <w:pgMar w:top="142" w:right="707" w:bottom="1440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69DE9" w14:textId="77777777" w:rsidR="005A753B" w:rsidRDefault="005A753B" w:rsidP="00F51BA0">
      <w:pPr>
        <w:spacing w:after="0" w:line="240" w:lineRule="auto"/>
      </w:pPr>
      <w:r>
        <w:separator/>
      </w:r>
    </w:p>
  </w:endnote>
  <w:endnote w:type="continuationSeparator" w:id="0">
    <w:p w14:paraId="609AB54C" w14:textId="77777777" w:rsidR="005A753B" w:rsidRDefault="005A753B" w:rsidP="00F5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F58C" w14:textId="77777777" w:rsidR="00A60F9C" w:rsidRDefault="007B6A4B" w:rsidP="00A60F9C">
    <w:r>
      <w:rPr>
        <w:rFonts w:ascii="MinionPro-Regular" w:hAnsi="MinionPro-Regular" w:cs="MinionPro-Regular"/>
        <w:noProof/>
        <w:sz w:val="24"/>
        <w:szCs w:val="24"/>
        <w:lang w:eastAsia="en-AU"/>
      </w:rPr>
      <w:pict w14:anchorId="08C22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071895" o:spid="_x0000_s1036" type="#_x0000_t75" style="position:absolute;margin-left:411pt;margin-top:699pt;width:134.45pt;height:110.9pt;z-index:-251658240;mso-position-horizontal-relative:margin;mso-position-vertical-relative:margin" o:allowincell="f">
          <v:imagedata r:id="rId1" o:title="wordbackgroundSmaller" croptop="56896f" cropleft="50720f"/>
          <w10:wrap anchorx="margin" anchory="margin"/>
        </v:shape>
      </w:pict>
    </w:r>
  </w:p>
  <w:p w14:paraId="044B4D65" w14:textId="77777777" w:rsidR="00C8608F" w:rsidRDefault="00C8608F" w:rsidP="00C8608F">
    <w:r>
      <w:rPr>
        <w:rFonts w:cs="Arial"/>
        <w:sz w:val="15"/>
        <w:szCs w:val="11"/>
      </w:rPr>
      <w:fldChar w:fldCharType="begin"/>
    </w:r>
    <w:r>
      <w:rPr>
        <w:rFonts w:cs="Arial"/>
        <w:sz w:val="15"/>
        <w:szCs w:val="11"/>
      </w:rPr>
      <w:instrText xml:space="preserve"> PAGE  \* Arabic  \* MERGEFORMAT </w:instrText>
    </w:r>
    <w:r>
      <w:rPr>
        <w:rFonts w:cs="Arial"/>
        <w:sz w:val="15"/>
        <w:szCs w:val="11"/>
      </w:rPr>
      <w:fldChar w:fldCharType="separate"/>
    </w:r>
    <w:r w:rsidR="00F61AC1">
      <w:rPr>
        <w:rFonts w:cs="Arial"/>
        <w:noProof/>
        <w:sz w:val="15"/>
        <w:szCs w:val="11"/>
      </w:rPr>
      <w:t>2</w:t>
    </w:r>
    <w:r>
      <w:rPr>
        <w:rFonts w:cs="Arial"/>
        <w:sz w:val="15"/>
        <w:szCs w:val="11"/>
      </w:rPr>
      <w:fldChar w:fldCharType="end"/>
    </w:r>
    <w:r>
      <w:rPr>
        <w:rFonts w:cs="Arial"/>
        <w:sz w:val="15"/>
        <w:szCs w:val="11"/>
      </w:rPr>
      <w:tab/>
      <w:t xml:space="preserve">        </w:t>
    </w:r>
    <w:r w:rsidRPr="00847C5B">
      <w:rPr>
        <w:rFonts w:cs="Arial"/>
        <w:sz w:val="15"/>
        <w:szCs w:val="11"/>
      </w:rPr>
      <w:t>Wentworth Healthcare Limited (ABN 88 155 904 975) provider of the Nepean Blue Mountains PHN.</w:t>
    </w:r>
    <w:r>
      <w:rPr>
        <w:rFonts w:cs="Arial"/>
        <w:sz w:val="15"/>
        <w:szCs w:val="11"/>
      </w:rPr>
      <w:tab/>
    </w:r>
  </w:p>
  <w:p w14:paraId="4BD3F4AE" w14:textId="77777777" w:rsidR="00A60F9C" w:rsidRDefault="00A6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71230" w14:textId="77777777" w:rsidR="005A753B" w:rsidRDefault="005A753B" w:rsidP="00F51BA0">
      <w:pPr>
        <w:spacing w:after="0" w:line="240" w:lineRule="auto"/>
      </w:pPr>
      <w:r>
        <w:separator/>
      </w:r>
    </w:p>
  </w:footnote>
  <w:footnote w:type="continuationSeparator" w:id="0">
    <w:p w14:paraId="635C3F54" w14:textId="77777777" w:rsidR="005A753B" w:rsidRDefault="005A753B" w:rsidP="00F5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62F6" w14:textId="2CE3703D" w:rsidR="00E95283" w:rsidRDefault="00211216" w:rsidP="00C8608F">
    <w:pPr>
      <w:pStyle w:val="Header"/>
      <w:tabs>
        <w:tab w:val="clear" w:pos="9026"/>
        <w:tab w:val="left" w:pos="684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58478C0" wp14:editId="44BB605D">
          <wp:simplePos x="0" y="0"/>
          <wp:positionH relativeFrom="page">
            <wp:posOffset>5543550</wp:posOffset>
          </wp:positionH>
          <wp:positionV relativeFrom="paragraph">
            <wp:posOffset>-412115</wp:posOffset>
          </wp:positionV>
          <wp:extent cx="1990322" cy="772598"/>
          <wp:effectExtent l="0" t="0" r="0" b="889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WH_PHN_colour_CMYK_300dpi_10c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07"/>
                  <a:stretch/>
                </pic:blipFill>
                <pic:spPr bwMode="auto">
                  <a:xfrm>
                    <a:off x="0" y="0"/>
                    <a:ext cx="2005739" cy="7785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283">
      <w:tab/>
    </w:r>
    <w:r w:rsidR="00C860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2010D"/>
    <w:multiLevelType w:val="hybridMultilevel"/>
    <w:tmpl w:val="D2547F3C"/>
    <w:lvl w:ilvl="0" w:tplc="83F27E0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bCs/>
        <w:sz w:val="32"/>
        <w:szCs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B13D2D"/>
    <w:multiLevelType w:val="hybridMultilevel"/>
    <w:tmpl w:val="5CEEB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30628548">
    <w:abstractNumId w:val="0"/>
  </w:num>
  <w:num w:numId="2" w16cid:durableId="202755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403"/>
    <w:rsid w:val="00027D65"/>
    <w:rsid w:val="0003056C"/>
    <w:rsid w:val="00045B3D"/>
    <w:rsid w:val="000574BD"/>
    <w:rsid w:val="00110576"/>
    <w:rsid w:val="001C7EAD"/>
    <w:rsid w:val="001F6AC9"/>
    <w:rsid w:val="00211216"/>
    <w:rsid w:val="00256754"/>
    <w:rsid w:val="00263A4E"/>
    <w:rsid w:val="00275F97"/>
    <w:rsid w:val="00295009"/>
    <w:rsid w:val="002C230E"/>
    <w:rsid w:val="003A386F"/>
    <w:rsid w:val="0040296F"/>
    <w:rsid w:val="00413BAA"/>
    <w:rsid w:val="00471B33"/>
    <w:rsid w:val="00554F23"/>
    <w:rsid w:val="00586F3E"/>
    <w:rsid w:val="00587932"/>
    <w:rsid w:val="005A753B"/>
    <w:rsid w:val="006A7A1C"/>
    <w:rsid w:val="0071552A"/>
    <w:rsid w:val="00727F4A"/>
    <w:rsid w:val="00736D2F"/>
    <w:rsid w:val="0075612C"/>
    <w:rsid w:val="007942A6"/>
    <w:rsid w:val="007B6A4B"/>
    <w:rsid w:val="007B7D1A"/>
    <w:rsid w:val="00847C5B"/>
    <w:rsid w:val="00923403"/>
    <w:rsid w:val="00941EE7"/>
    <w:rsid w:val="009773B1"/>
    <w:rsid w:val="00A60F9C"/>
    <w:rsid w:val="00AC18EF"/>
    <w:rsid w:val="00AD2819"/>
    <w:rsid w:val="00B27002"/>
    <w:rsid w:val="00B66B14"/>
    <w:rsid w:val="00BD54A1"/>
    <w:rsid w:val="00C8608F"/>
    <w:rsid w:val="00D00E48"/>
    <w:rsid w:val="00D111BA"/>
    <w:rsid w:val="00D41397"/>
    <w:rsid w:val="00D74FDB"/>
    <w:rsid w:val="00D97FDB"/>
    <w:rsid w:val="00DC21E7"/>
    <w:rsid w:val="00DD5C60"/>
    <w:rsid w:val="00E356BB"/>
    <w:rsid w:val="00E40112"/>
    <w:rsid w:val="00E56DD0"/>
    <w:rsid w:val="00E61673"/>
    <w:rsid w:val="00E902D8"/>
    <w:rsid w:val="00E95283"/>
    <w:rsid w:val="00F51BA0"/>
    <w:rsid w:val="00F61AC1"/>
    <w:rsid w:val="00F87233"/>
    <w:rsid w:val="00FD2FF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503B0"/>
  <w15:docId w15:val="{70AAC651-FE21-4522-B1A7-100043E8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16"/>
    <w:pPr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216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2A2A8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608F"/>
    <w:pPr>
      <w:keepNext/>
      <w:keepLines/>
      <w:spacing w:before="40" w:after="0"/>
      <w:outlineLvl w:val="1"/>
    </w:pPr>
    <w:rPr>
      <w:rFonts w:ascii="Arial Rounded MT Bold" w:eastAsiaTheme="majorEastAsia" w:hAnsi="Arial Rounded MT Bold" w:cstheme="majorBidi"/>
      <w:bCs/>
      <w:color w:val="003D6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A0"/>
  </w:style>
  <w:style w:type="paragraph" w:styleId="Footer">
    <w:name w:val="footer"/>
    <w:basedOn w:val="Normal"/>
    <w:link w:val="FooterChar"/>
    <w:uiPriority w:val="99"/>
    <w:unhideWhenUsed/>
    <w:rsid w:val="00F51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A0"/>
  </w:style>
  <w:style w:type="paragraph" w:styleId="BalloonText">
    <w:name w:val="Balloon Text"/>
    <w:basedOn w:val="Normal"/>
    <w:link w:val="BalloonTextChar"/>
    <w:uiPriority w:val="99"/>
    <w:semiHidden/>
    <w:unhideWhenUsed/>
    <w:rsid w:val="00E5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D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56DD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11216"/>
    <w:rPr>
      <w:rFonts w:ascii="Arial Rounded MT Bold" w:eastAsiaTheme="majorEastAsia" w:hAnsi="Arial Rounded MT Bold" w:cstheme="majorBidi"/>
      <w:color w:val="2A2A86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608F"/>
    <w:rPr>
      <w:rFonts w:ascii="Arial Rounded MT Bold" w:eastAsiaTheme="majorEastAsia" w:hAnsi="Arial Rounded MT Bold" w:cstheme="majorBidi"/>
      <w:bCs/>
      <w:color w:val="003D69"/>
      <w:sz w:val="40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11216"/>
    <w:pPr>
      <w:spacing w:before="0" w:after="0" w:line="240" w:lineRule="auto"/>
      <w:contextualSpacing/>
    </w:pPr>
    <w:rPr>
      <w:rFonts w:ascii="Arial Rounded MT Bold" w:eastAsiaTheme="majorEastAsia" w:hAnsi="Arial Rounded MT Bold" w:cstheme="majorBidi"/>
      <w:color w:val="2A2A8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216"/>
    <w:rPr>
      <w:rFonts w:ascii="Arial Rounded MT Bold" w:eastAsiaTheme="majorEastAsia" w:hAnsi="Arial Rounded MT Bold" w:cstheme="majorBidi"/>
      <w:color w:val="2A2A8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1216"/>
    <w:pPr>
      <w:numPr>
        <w:ilvl w:val="1"/>
      </w:numPr>
      <w:spacing w:after="160"/>
    </w:pPr>
    <w:rPr>
      <w:rFonts w:eastAsiaTheme="minorEastAsia"/>
      <w:color w:val="46A748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1216"/>
    <w:rPr>
      <w:rFonts w:ascii="Arial" w:eastAsiaTheme="minorEastAsia" w:hAnsi="Arial"/>
      <w:color w:val="46A748"/>
      <w:spacing w:val="15"/>
      <w:sz w:val="24"/>
    </w:rPr>
  </w:style>
  <w:style w:type="table" w:styleId="TableGrid">
    <w:name w:val="Table Grid"/>
    <w:basedOn w:val="TableNormal"/>
    <w:uiPriority w:val="39"/>
    <w:rsid w:val="0092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A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A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0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gp.org.au/FSDEDEV/media/documents/Clinical%20Resources/Guidelines/Telephone-and-video-consultations-in-general-practice-Flowchart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elp.vcc.healthdirect.org.au/templatesandguides/downloa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vcc.healthdirect.org.au/95525-getting-set-up-with-video-call-for-the-first-time/webina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\Downloads\NBMPHN%20genera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5D92-715F-44FE-BA6B-2F208186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NBMPHN general document template</Template>
  <TotalTime>72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Nisha Sathyan</cp:lastModifiedBy>
  <cp:revision>2</cp:revision>
  <cp:lastPrinted>2015-08-06T03:57:00Z</cp:lastPrinted>
  <dcterms:created xsi:type="dcterms:W3CDTF">2024-07-15T02:34:00Z</dcterms:created>
  <dcterms:modified xsi:type="dcterms:W3CDTF">2024-07-16T01:54:00Z</dcterms:modified>
</cp:coreProperties>
</file>